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7F8F" w14:textId="2DF5AE01" w:rsidR="001849E7" w:rsidRPr="00F06636" w:rsidRDefault="001849E7" w:rsidP="001849E7">
      <w:pPr>
        <w:suppressAutoHyphens/>
        <w:rPr>
          <w:rFonts w:ascii="Garamond" w:eastAsia="Times New Roman" w:hAnsi="Garamond" w:cstheme="minorHAnsi"/>
          <w:b/>
          <w:bCs/>
          <w:iCs/>
          <w:sz w:val="24"/>
          <w:szCs w:val="24"/>
          <w:lang w:eastAsia="ar-SA"/>
        </w:rPr>
      </w:pPr>
      <w:r w:rsidRPr="00F06636">
        <w:rPr>
          <w:rFonts w:ascii="Garamond" w:eastAsia="Times New Roman" w:hAnsi="Garamond" w:cstheme="minorHAnsi"/>
          <w:b/>
          <w:bCs/>
          <w:iCs/>
          <w:sz w:val="24"/>
          <w:szCs w:val="24"/>
          <w:lang w:eastAsia="ar-SA"/>
        </w:rPr>
        <w:t xml:space="preserve">Allegato </w:t>
      </w:r>
      <w:r w:rsidR="002F0685">
        <w:rPr>
          <w:rFonts w:ascii="Garamond" w:eastAsia="Times New Roman" w:hAnsi="Garamond" w:cstheme="minorHAnsi"/>
          <w:b/>
          <w:bCs/>
          <w:iCs/>
          <w:sz w:val="24"/>
          <w:szCs w:val="24"/>
          <w:lang w:eastAsia="ar-SA"/>
        </w:rPr>
        <w:t>8</w:t>
      </w:r>
      <w:r w:rsidRPr="00F06636">
        <w:rPr>
          <w:rFonts w:ascii="Garamond" w:eastAsia="Times New Roman" w:hAnsi="Garamond" w:cstheme="minorHAnsi"/>
          <w:b/>
          <w:bCs/>
          <w:iCs/>
          <w:sz w:val="24"/>
          <w:szCs w:val="24"/>
          <w:lang w:eastAsia="ar-SA"/>
        </w:rPr>
        <w:t>) Patto di Integrità</w:t>
      </w:r>
    </w:p>
    <w:p w14:paraId="66F79BAF" w14:textId="77777777" w:rsidR="001849E7" w:rsidRPr="00F06636" w:rsidRDefault="001849E7" w:rsidP="001849E7">
      <w:pPr>
        <w:spacing w:after="120"/>
        <w:jc w:val="center"/>
        <w:rPr>
          <w:rFonts w:ascii="Garamond" w:hAnsi="Garamond" w:cstheme="minorHAnsi"/>
          <w:b/>
          <w:sz w:val="24"/>
          <w:szCs w:val="24"/>
        </w:rPr>
      </w:pPr>
    </w:p>
    <w:p w14:paraId="707AC253" w14:textId="77777777" w:rsidR="00ED243A"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PATTO DI INTEGRITÀ</w:t>
      </w:r>
    </w:p>
    <w:p w14:paraId="25DC46D1" w14:textId="77777777" w:rsidR="005C028D" w:rsidRPr="00F06636" w:rsidRDefault="005C028D" w:rsidP="001849E7">
      <w:pPr>
        <w:spacing w:after="120"/>
        <w:jc w:val="center"/>
        <w:rPr>
          <w:rFonts w:ascii="Garamond" w:hAnsi="Garamond" w:cstheme="minorHAnsi"/>
          <w:b/>
          <w:sz w:val="24"/>
          <w:szCs w:val="24"/>
        </w:rPr>
      </w:pPr>
    </w:p>
    <w:p w14:paraId="44F88904" w14:textId="7441096D" w:rsidR="00ED243A" w:rsidRPr="00F06636" w:rsidRDefault="00ED243A" w:rsidP="001849E7">
      <w:pPr>
        <w:spacing w:after="120"/>
        <w:jc w:val="both"/>
        <w:rPr>
          <w:rFonts w:ascii="Garamond" w:hAnsi="Garamond"/>
          <w:b/>
          <w:bCs/>
          <w:sz w:val="24"/>
          <w:szCs w:val="24"/>
        </w:rPr>
      </w:pPr>
      <w:r w:rsidRPr="00667E23">
        <w:rPr>
          <w:rFonts w:ascii="Garamond" w:hAnsi="Garamond" w:cstheme="minorHAnsi"/>
          <w:b/>
          <w:bCs/>
          <w:caps/>
          <w:sz w:val="24"/>
          <w:szCs w:val="24"/>
        </w:rPr>
        <w:t xml:space="preserve">TRA LA </w:t>
      </w:r>
      <w:r w:rsidRPr="00F06636">
        <w:rPr>
          <w:rFonts w:ascii="Garamond" w:hAnsi="Garamond" w:cstheme="minorHAnsi"/>
          <w:b/>
          <w:bCs/>
          <w:caps/>
          <w:sz w:val="24"/>
          <w:szCs w:val="24"/>
        </w:rPr>
        <w:t xml:space="preserve">FONDAZIONE </w:t>
      </w:r>
      <w:r w:rsidR="00667E23" w:rsidRPr="00667E23">
        <w:rPr>
          <w:rFonts w:ascii="Garamond" w:hAnsi="Garamond" w:cstheme="minorHAnsi"/>
          <w:b/>
          <w:bCs/>
          <w:caps/>
          <w:sz w:val="24"/>
          <w:szCs w:val="24"/>
        </w:rPr>
        <w:t>Istituto tecnologico Superiore per la Mobilità Sostenibile e logistica- TEC MOS – Tecnologie e Sicurezza per la Mobilità Sostenibile (ITS Academy) in breve ITS Academy TEC MOS</w:t>
      </w:r>
      <w:r w:rsidR="00667E23" w:rsidRPr="00F06636">
        <w:rPr>
          <w:rFonts w:ascii="Garamond" w:hAnsi="Garamond" w:cstheme="minorHAnsi"/>
          <w:b/>
          <w:bCs/>
          <w:caps/>
          <w:sz w:val="24"/>
          <w:szCs w:val="24"/>
        </w:rPr>
        <w:t xml:space="preserve"> </w:t>
      </w:r>
      <w:r w:rsidRPr="00F06636">
        <w:rPr>
          <w:rFonts w:ascii="Garamond" w:hAnsi="Garamond" w:cstheme="minorHAnsi"/>
          <w:b/>
          <w:bCs/>
          <w:caps/>
          <w:sz w:val="24"/>
          <w:szCs w:val="24"/>
        </w:rPr>
        <w:t xml:space="preserve">E GLI OPERATORI ECONOMICI PARTECIPANTI ALLE PROCEDURE DI AFFIDAMENTO DI SERVIZI E </w:t>
      </w:r>
      <w:r w:rsidR="0017426C" w:rsidRPr="00F06636">
        <w:rPr>
          <w:rFonts w:ascii="Garamond" w:hAnsi="Garamond" w:cstheme="minorHAnsi"/>
          <w:b/>
          <w:bCs/>
          <w:caps/>
          <w:sz w:val="24"/>
          <w:szCs w:val="24"/>
        </w:rPr>
        <w:t xml:space="preserve">DI </w:t>
      </w:r>
      <w:r w:rsidRPr="00F06636">
        <w:rPr>
          <w:rFonts w:ascii="Garamond" w:hAnsi="Garamond" w:cstheme="minorHAnsi"/>
          <w:b/>
          <w:bCs/>
          <w:caps/>
          <w:sz w:val="24"/>
          <w:szCs w:val="24"/>
        </w:rPr>
        <w:t>FORNITURE</w:t>
      </w:r>
      <w:r w:rsidRPr="00F06636">
        <w:rPr>
          <w:rFonts w:ascii="Garamond" w:hAnsi="Garamond" w:cstheme="minorHAnsi"/>
          <w:b/>
          <w:bCs/>
          <w:sz w:val="24"/>
          <w:szCs w:val="24"/>
        </w:rPr>
        <w:t xml:space="preserve"> </w:t>
      </w:r>
      <w:r w:rsidR="001849E7" w:rsidRPr="00F06636">
        <w:rPr>
          <w:rFonts w:ascii="Garamond" w:hAnsi="Garamond" w:cstheme="minorHAnsi"/>
          <w:b/>
          <w:bCs/>
          <w:sz w:val="24"/>
          <w:szCs w:val="24"/>
        </w:rPr>
        <w:t xml:space="preserve">- </w:t>
      </w:r>
      <w:r w:rsidR="00B95F51" w:rsidRPr="00F06636">
        <w:rPr>
          <w:rFonts w:ascii="Garamond" w:hAnsi="Garamond" w:cstheme="minorHAnsi"/>
          <w:b/>
          <w:bCs/>
          <w:sz w:val="24"/>
          <w:szCs w:val="24"/>
        </w:rPr>
        <w:t>C.U.P.</w:t>
      </w:r>
      <w:r w:rsidR="00B95F51" w:rsidRPr="00F06636">
        <w:rPr>
          <w:rFonts w:ascii="Garamond" w:hAnsi="Garamond"/>
          <w:sz w:val="24"/>
          <w:szCs w:val="24"/>
        </w:rPr>
        <w:t xml:space="preserve"> </w:t>
      </w:r>
      <w:r w:rsidR="00F70D66" w:rsidRPr="00F06636">
        <w:rPr>
          <w:rFonts w:ascii="Garamond" w:hAnsi="Garamond"/>
          <w:b/>
          <w:bCs/>
          <w:sz w:val="24"/>
          <w:szCs w:val="24"/>
        </w:rPr>
        <w:t>I14D23000930006</w:t>
      </w:r>
    </w:p>
    <w:p w14:paraId="0DAD47BB" w14:textId="77777777" w:rsidR="00ED243A" w:rsidRPr="00F06636" w:rsidRDefault="00ED243A" w:rsidP="001849E7">
      <w:pPr>
        <w:tabs>
          <w:tab w:val="left" w:pos="2505"/>
          <w:tab w:val="center" w:pos="4819"/>
        </w:tabs>
        <w:spacing w:after="120"/>
        <w:rPr>
          <w:rFonts w:ascii="Garamond" w:hAnsi="Garamond" w:cstheme="minorHAnsi"/>
          <w:b/>
          <w:sz w:val="24"/>
          <w:szCs w:val="24"/>
        </w:rPr>
      </w:pPr>
      <w:r w:rsidRPr="00F06636">
        <w:rPr>
          <w:rFonts w:ascii="Garamond" w:hAnsi="Garamond" w:cstheme="minorHAnsi"/>
          <w:b/>
          <w:sz w:val="24"/>
          <w:szCs w:val="24"/>
        </w:rPr>
        <w:tab/>
      </w:r>
      <w:r w:rsidRPr="00F06636">
        <w:rPr>
          <w:rFonts w:ascii="Garamond" w:hAnsi="Garamond" w:cstheme="minorHAnsi"/>
          <w:b/>
          <w:sz w:val="24"/>
          <w:szCs w:val="24"/>
        </w:rPr>
        <w:tab/>
        <w:t>TRA</w:t>
      </w:r>
    </w:p>
    <w:p w14:paraId="4BA58C47" w14:textId="0AD25F5C" w:rsidR="00ED243A" w:rsidRPr="00F06636" w:rsidRDefault="00ED243A" w:rsidP="001849E7">
      <w:pPr>
        <w:spacing w:after="120"/>
        <w:jc w:val="both"/>
        <w:rPr>
          <w:rFonts w:ascii="Garamond" w:hAnsi="Garamond"/>
          <w:sz w:val="24"/>
          <w:szCs w:val="24"/>
        </w:rPr>
      </w:pPr>
      <w:bookmarkStart w:id="0" w:name="_Hlk156899683"/>
      <w:r w:rsidRPr="00F06636">
        <w:rPr>
          <w:rFonts w:ascii="Garamond" w:eastAsia="Times New Roman" w:hAnsi="Garamond" w:cs="Calibri"/>
          <w:b/>
          <w:bCs/>
          <w:sz w:val="24"/>
          <w:szCs w:val="24"/>
        </w:rPr>
        <w:t xml:space="preserve">Fondazione </w:t>
      </w:r>
      <w:r w:rsidR="00667E23" w:rsidRPr="00667E23">
        <w:rPr>
          <w:rFonts w:ascii="Garamond" w:eastAsiaTheme="minorHAnsi" w:hAnsi="Garamond"/>
          <w:b/>
          <w:bCs/>
          <w:sz w:val="24"/>
          <w:szCs w:val="24"/>
        </w:rPr>
        <w:t>Istituto tecnologico Superiore per la Mobilità Sostenibile e logistica- TEC MOS – Tecnologie e Sicurezza per la Mobilità Sostenibile (ITS Academy) in breve ITS Academy TEC MOS</w:t>
      </w:r>
      <w:bookmarkEnd w:id="0"/>
      <w:r w:rsidR="00667E23">
        <w:rPr>
          <w:rFonts w:ascii="Garamond" w:eastAsia="Times New Roman" w:hAnsi="Garamond" w:cs="Calibri"/>
          <w:b/>
          <w:bCs/>
          <w:sz w:val="24"/>
          <w:szCs w:val="24"/>
        </w:rPr>
        <w:t xml:space="preserve">, </w:t>
      </w:r>
      <w:r w:rsidRPr="00F06636">
        <w:rPr>
          <w:rFonts w:ascii="Garamond" w:eastAsia="Times New Roman" w:hAnsi="Garamond" w:cs="Calibri"/>
          <w:sz w:val="24"/>
          <w:szCs w:val="24"/>
        </w:rPr>
        <w:t xml:space="preserve">con sede in </w:t>
      </w:r>
      <w:r w:rsidR="00F70D66" w:rsidRPr="00F06636">
        <w:rPr>
          <w:rFonts w:ascii="Garamond" w:eastAsia="Times New Roman" w:hAnsi="Garamond" w:cs="Calibri"/>
          <w:sz w:val="24"/>
          <w:szCs w:val="24"/>
        </w:rPr>
        <w:t xml:space="preserve">Maddaloni (CE), </w:t>
      </w:r>
      <w:r w:rsidR="001849E7" w:rsidRPr="00F06636">
        <w:rPr>
          <w:rFonts w:ascii="Garamond" w:eastAsia="Times New Roman" w:hAnsi="Garamond" w:cs="Calibri"/>
          <w:sz w:val="24"/>
          <w:szCs w:val="24"/>
        </w:rPr>
        <w:t xml:space="preserve">alla </w:t>
      </w:r>
      <w:r w:rsidR="00F70D66" w:rsidRPr="00F06636">
        <w:rPr>
          <w:rFonts w:ascii="Garamond" w:eastAsia="Times New Roman" w:hAnsi="Garamond" w:cs="Calibri"/>
          <w:sz w:val="24"/>
          <w:szCs w:val="24"/>
        </w:rPr>
        <w:t xml:space="preserve">Piazza Matteotti n.8, 81024, </w:t>
      </w:r>
      <w:r w:rsidRPr="00F06636">
        <w:rPr>
          <w:rFonts w:ascii="Garamond" w:eastAsia="Times New Roman" w:hAnsi="Garamond" w:cs="Calibri"/>
          <w:sz w:val="24"/>
          <w:szCs w:val="24"/>
        </w:rPr>
        <w:t xml:space="preserve">CF </w:t>
      </w:r>
      <w:r w:rsidR="00F70D66" w:rsidRPr="00F06636">
        <w:rPr>
          <w:rFonts w:ascii="Garamond" w:eastAsia="Times New Roman" w:hAnsi="Garamond" w:cs="Calibri"/>
          <w:sz w:val="24"/>
          <w:szCs w:val="24"/>
        </w:rPr>
        <w:t>93073970613</w:t>
      </w:r>
      <w:r w:rsidRPr="00F06636">
        <w:rPr>
          <w:rFonts w:ascii="Garamond" w:eastAsia="Times New Roman" w:hAnsi="Garamond" w:cs="Calibri"/>
          <w:sz w:val="24"/>
          <w:szCs w:val="24"/>
        </w:rPr>
        <w:t>, rappresentato a</w:t>
      </w:r>
      <w:r w:rsidR="001849E7" w:rsidRPr="00F06636">
        <w:rPr>
          <w:rFonts w:ascii="Garamond" w:eastAsia="Times New Roman" w:hAnsi="Garamond" w:cs="Calibri"/>
          <w:sz w:val="24"/>
          <w:szCs w:val="24"/>
        </w:rPr>
        <w:t xml:space="preserve">i fini del presente atto da </w:t>
      </w:r>
      <w:r w:rsidR="00F70D66" w:rsidRPr="00F06636">
        <w:rPr>
          <w:rFonts w:ascii="Garamond" w:eastAsia="Times New Roman" w:hAnsi="Garamond" w:cs="Calibri"/>
          <w:sz w:val="24"/>
          <w:szCs w:val="24"/>
        </w:rPr>
        <w:t>Paolo Lanzilli</w:t>
      </w:r>
      <w:r w:rsidRPr="00F06636">
        <w:rPr>
          <w:rFonts w:ascii="Garamond" w:eastAsia="Times New Roman" w:hAnsi="Garamond" w:cs="Calibri"/>
          <w:sz w:val="24"/>
          <w:szCs w:val="24"/>
        </w:rPr>
        <w:t xml:space="preserve">, Presidente e Legale rappresentante domiciliato </w:t>
      </w:r>
      <w:r w:rsidR="001849E7" w:rsidRPr="00F06636">
        <w:rPr>
          <w:rFonts w:ascii="Garamond" w:eastAsia="Times New Roman" w:hAnsi="Garamond" w:cs="Calibri"/>
          <w:sz w:val="24"/>
          <w:szCs w:val="24"/>
        </w:rPr>
        <w:t xml:space="preserve">per la carica presso la sede dell’ITS </w:t>
      </w:r>
      <w:r w:rsidR="00667E23">
        <w:rPr>
          <w:rFonts w:ascii="Garamond" w:eastAsia="Times New Roman" w:hAnsi="Garamond" w:cs="Calibri"/>
          <w:sz w:val="24"/>
          <w:szCs w:val="24"/>
        </w:rPr>
        <w:t xml:space="preserve">Academy </w:t>
      </w:r>
      <w:r w:rsidR="001849E7" w:rsidRPr="00F06636">
        <w:rPr>
          <w:rFonts w:ascii="Garamond" w:eastAsia="Times New Roman" w:hAnsi="Garamond" w:cs="Calibri"/>
          <w:sz w:val="24"/>
          <w:szCs w:val="24"/>
        </w:rPr>
        <w:t xml:space="preserve">TEC MOS, </w:t>
      </w:r>
      <w:r w:rsidRPr="00F06636">
        <w:rPr>
          <w:rFonts w:ascii="Garamond" w:eastAsia="Times New Roman" w:hAnsi="Garamond" w:cs="Calibri"/>
          <w:sz w:val="24"/>
          <w:szCs w:val="24"/>
        </w:rPr>
        <w:t xml:space="preserve">munito degli occorrenti </w:t>
      </w:r>
      <w:r w:rsidR="001849E7" w:rsidRPr="00F06636">
        <w:rPr>
          <w:rFonts w:ascii="Garamond" w:eastAsia="Times New Roman" w:hAnsi="Garamond" w:cs="Calibri"/>
          <w:sz w:val="24"/>
          <w:szCs w:val="24"/>
        </w:rPr>
        <w:t xml:space="preserve">poteri in forza dell'Atto costitutivo e Statuto registrati il 02/07/2020 n. 15012 serie 1 T, </w:t>
      </w:r>
      <w:r w:rsidRPr="00F06636">
        <w:rPr>
          <w:rFonts w:ascii="Garamond" w:eastAsia="Times New Roman" w:hAnsi="Garamond" w:cs="Calibri"/>
          <w:sz w:val="24"/>
          <w:szCs w:val="24"/>
        </w:rPr>
        <w:t xml:space="preserve">domicilio digitale PEC: </w:t>
      </w:r>
      <w:hyperlink r:id="rId7" w:history="1">
        <w:r w:rsidR="00F70D66" w:rsidRPr="00F06636">
          <w:rPr>
            <w:rStyle w:val="Collegamentoipertestuale"/>
            <w:rFonts w:ascii="Garamond" w:hAnsi="Garamond"/>
            <w:sz w:val="24"/>
            <w:szCs w:val="24"/>
          </w:rPr>
          <w:t>its-ms-tf.pec@legalmail.it</w:t>
        </w:r>
      </w:hyperlink>
    </w:p>
    <w:p w14:paraId="2903543D"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E</w:t>
      </w:r>
    </w:p>
    <w:p w14:paraId="7FC376D5" w14:textId="77777777" w:rsidR="00ED243A" w:rsidRPr="00F06636" w:rsidRDefault="00ED243A" w:rsidP="001849E7">
      <w:pPr>
        <w:pStyle w:val="Default"/>
        <w:spacing w:after="120"/>
        <w:jc w:val="both"/>
        <w:rPr>
          <w:rFonts w:ascii="Garamond" w:hAnsi="Garamond" w:cstheme="minorHAnsi"/>
        </w:rPr>
      </w:pPr>
      <w:r w:rsidRPr="00F06636">
        <w:rPr>
          <w:rFonts w:ascii="Garamond" w:hAnsi="Garamond" w:cstheme="minorHAnsi"/>
        </w:rPr>
        <w:t xml:space="preserve">L’operatore economico </w:t>
      </w:r>
      <w:r w:rsidRPr="00F06636">
        <w:rPr>
          <w:rFonts w:ascii="Garamond" w:hAnsi="Garamond" w:cstheme="minorHAnsi"/>
          <w:b/>
          <w:bCs/>
        </w:rPr>
        <w:t xml:space="preserve">[…] </w:t>
      </w:r>
      <w:r w:rsidRPr="00F06636">
        <w:rPr>
          <w:rFonts w:ascii="Garamond" w:hAnsi="Garamond" w:cstheme="minorHAnsi"/>
        </w:rPr>
        <w:t>(di   seguito Operatore Economico) con sede legale in […] C.F./ P. IVA […]  rappresentato da […] in qualità di […]</w:t>
      </w:r>
    </w:p>
    <w:p w14:paraId="08B2BEF2" w14:textId="77777777" w:rsidR="00ED243A" w:rsidRPr="00F06636" w:rsidRDefault="00ED243A" w:rsidP="001849E7">
      <w:pPr>
        <w:spacing w:after="120"/>
        <w:jc w:val="center"/>
        <w:rPr>
          <w:rFonts w:ascii="Garamond" w:hAnsi="Garamond" w:cstheme="minorHAnsi"/>
          <w:b/>
          <w:sz w:val="24"/>
          <w:szCs w:val="24"/>
        </w:rPr>
      </w:pPr>
    </w:p>
    <w:p w14:paraId="4C53FD3D"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VISTO</w:t>
      </w:r>
    </w:p>
    <w:p w14:paraId="4D26F742"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l’art.1, comma 17, della Legge 6 novembre 2012, n.190, recante “Disposizioni per la prevenzione e la repressione della corruzione e dell’illegalità nella pubblica Amministrazione”;</w:t>
      </w:r>
    </w:p>
    <w:p w14:paraId="6AE8809B"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il Piano Nazionale Anticorruzione 2022 approvato dall’Autorità Nazionale Anticorruzione (di seguito denominata ANAC) con Delibera n. 7 del 17 gennaio 2023 e successivi aggiornamenti;</w:t>
      </w:r>
    </w:p>
    <w:p w14:paraId="749AAE25"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6D17BABF"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il D.P.R. 16 aprile 2013, n. 62, con il quale è stato emanato il “Regolamento recante codice di comportamento dei dipendenti pubblici, a norma dell’art. 54 del decreto legislativo 30 marzo 2001, n. 165”;</w:t>
      </w:r>
    </w:p>
    <w:p w14:paraId="19423A6F" w14:textId="138FA97B"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 xml:space="preserve">LA FONDAZIONE ITS ACADEMY </w:t>
      </w:r>
      <w:r w:rsidR="00667E23">
        <w:rPr>
          <w:rFonts w:ascii="Garamond" w:hAnsi="Garamond" w:cstheme="minorHAnsi"/>
          <w:b/>
          <w:sz w:val="24"/>
          <w:szCs w:val="24"/>
        </w:rPr>
        <w:t xml:space="preserve">TEC MOS </w:t>
      </w:r>
      <w:r w:rsidRPr="00F06636">
        <w:rPr>
          <w:rFonts w:ascii="Garamond" w:hAnsi="Garamond" w:cstheme="minorHAnsi"/>
          <w:b/>
          <w:sz w:val="24"/>
          <w:szCs w:val="24"/>
        </w:rPr>
        <w:t>e L’OPERATORE ECONOMICO CONVENGONO QUANTO SEGUE</w:t>
      </w:r>
    </w:p>
    <w:p w14:paraId="1CC862EF"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Articolo 1</w:t>
      </w:r>
    </w:p>
    <w:p w14:paraId="4E881D8D"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(Finalità ed ambito di applicazione)</w:t>
      </w:r>
    </w:p>
    <w:p w14:paraId="56E282F0"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1. Il presente Patto di integrità rappresenta una misura di prevenzione nei confronti di pratiche corruttive, concussive o comunque tendenti ad inficiare il corretto svolgimento dell’azione amministrativa nell’ambito dei pubblici appalti banditi dalla Fondazione ITS Academy.</w:t>
      </w:r>
    </w:p>
    <w:p w14:paraId="4AC60D6D"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2. Nel Patto sono stabilite reciproche e formali obbligazioni tra la Fondazione ITS Academy ed ogni Operatore Economico partecipante alla procedura di gara ed eventualmente aggiudicatario della stessa, al fine di conformare i propri comportamenti ai principi di lealtà, trasparenza e correttezza in tutte le fasi dell’appalto, dalla partecipazione alla esecuzione contrattuale.</w:t>
      </w:r>
    </w:p>
    <w:p w14:paraId="2AFDD914"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lastRenderedPageBreak/>
        <w:t>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677D9CDE" w14:textId="77777777" w:rsidR="00ED243A" w:rsidRPr="00F06636" w:rsidRDefault="00ED243A" w:rsidP="001849E7">
      <w:pPr>
        <w:spacing w:after="120"/>
        <w:jc w:val="both"/>
        <w:rPr>
          <w:rFonts w:ascii="Garamond" w:hAnsi="Garamond" w:cstheme="minorHAnsi"/>
          <w:b/>
          <w:bCs/>
          <w:sz w:val="24"/>
          <w:szCs w:val="24"/>
        </w:rPr>
      </w:pPr>
      <w:r w:rsidRPr="00F06636">
        <w:rPr>
          <w:rFonts w:ascii="Garamond" w:hAnsi="Garamond" w:cstheme="minorHAnsi"/>
          <w:sz w:val="24"/>
          <w:szCs w:val="24"/>
        </w:rPr>
        <w:t>4. Il presente Patto trova applicazione in tutte le procedure di gara sopra e sottosoglia comunitaria</w:t>
      </w:r>
      <w:r w:rsidRPr="00F06636">
        <w:rPr>
          <w:rFonts w:ascii="Garamond" w:hAnsi="Garamond" w:cstheme="minorHAnsi"/>
          <w:b/>
          <w:bCs/>
          <w:sz w:val="24"/>
          <w:szCs w:val="24"/>
        </w:rPr>
        <w:t xml:space="preserve">, </w:t>
      </w:r>
      <w:r w:rsidRPr="00F06636">
        <w:rPr>
          <w:rFonts w:ascii="Garamond" w:hAnsi="Garamond" w:cstheme="minorHAnsi"/>
          <w:sz w:val="24"/>
          <w:szCs w:val="24"/>
        </w:rPr>
        <w:t>salvo che per l’affidamento specifico sussista già un apposito Patto di integrità predisposto da altro soggetto giuridico (ad es. Consip). Nelle procedure sottosoglia si intendono ricompresi anche gli affidamenti diretti effettuati entro</w:t>
      </w:r>
      <w:r w:rsidRPr="00F06636">
        <w:rPr>
          <w:rFonts w:ascii="Garamond" w:hAnsi="Garamond" w:cstheme="minorHAnsi"/>
          <w:color w:val="FF0000"/>
          <w:sz w:val="24"/>
          <w:szCs w:val="24"/>
        </w:rPr>
        <w:t xml:space="preserve"> </w:t>
      </w:r>
      <w:r w:rsidRPr="00F06636">
        <w:rPr>
          <w:rFonts w:ascii="Garamond" w:hAnsi="Garamond" w:cstheme="minorHAnsi"/>
          <w:sz w:val="24"/>
          <w:szCs w:val="24"/>
        </w:rPr>
        <w:t>il limite dei 139.000,00 euro (centoquarantamila euro/00)</w:t>
      </w:r>
      <w:r w:rsidRPr="00F06636">
        <w:rPr>
          <w:rFonts w:ascii="Garamond" w:hAnsi="Garamond" w:cstheme="minorHAnsi"/>
          <w:b/>
          <w:bCs/>
          <w:sz w:val="24"/>
          <w:szCs w:val="24"/>
        </w:rPr>
        <w:t>.</w:t>
      </w:r>
    </w:p>
    <w:p w14:paraId="58F7F139"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5. Esso disciplina e regola i comportamenti degli operatori economici e di tutti i soggetti impiegati a qualunque titolo dai medesimi operatori nell’ambito delle procedure di gara indette dalla Fondazione ITS Academy, cui partecipano, e nella fase di esecuzione del contratto eventualmente a loro affidato in esito alle già menzionate procedure di gara. </w:t>
      </w:r>
    </w:p>
    <w:p w14:paraId="3AEE0C39"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bCs/>
          <w:sz w:val="24"/>
          <w:szCs w:val="24"/>
        </w:rPr>
        <w:t>6</w:t>
      </w:r>
      <w:r w:rsidRPr="00F06636">
        <w:rPr>
          <w:rFonts w:ascii="Garamond" w:hAnsi="Garamond" w:cstheme="minorHAnsi"/>
          <w:b/>
          <w:bCs/>
          <w:sz w:val="24"/>
          <w:szCs w:val="24"/>
        </w:rPr>
        <w:t xml:space="preserve">. </w:t>
      </w:r>
      <w:r w:rsidRPr="00F06636">
        <w:rPr>
          <w:rFonts w:ascii="Garamond" w:hAnsi="Garamond" w:cstheme="minorHAnsi"/>
          <w:sz w:val="24"/>
          <w:szCs w:val="24"/>
        </w:rPr>
        <w:t>Il Patto di integrità, altresì, regola i comportamenti di ogni soggetto della Fondazione ITS Academy, impiegato – sotto qualunque forma di rapporto contrattuale previsto dalla vigente normativa – nell’ambito delle procedure di gara, nonché nella fase di esecuzione del conseguente contratto. I medesimi soggetti sono, altresì, a conoscenza del contenuto del presente Patto d’Integrità, il cui spirito condividono pienamente, nonché delle sanzioni previste a loro carico in caso di mancato rispetto dello stesso.</w:t>
      </w:r>
    </w:p>
    <w:p w14:paraId="5957AB7D"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7. Il Patto, sottoscritto per accettazione dal legale rappresentante e dall’eventuale Direttore/i Tecnico/i dell’Operatore Economico, deve essere allegato alla documentazione di gara nell’ambito di qualsiasi procedura di affidamento e gestione degli appalti di forniture, servizi e lavori esperita dalla Fondazione ITS Academy – ivi incluse le ipotesi di affidamento diretto – costituendo, altresì, parte integrante del conseguente contratto. </w:t>
      </w:r>
    </w:p>
    <w:p w14:paraId="135AD0E0"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Nel caso di Consorzi o Raggruppamenti Temporanei di Imprese, il Patto va sottoscritto dal legale rappresentante del Consorzio nonché di ciascuna delle Imprese consorziate o raggruppate e dagli eventuali Direttori Tecnici. </w:t>
      </w:r>
    </w:p>
    <w:p w14:paraId="1E0BDB86"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Nel caso di ricorso all’avvalimento, il Patto va sottoscritto anche dal legale rappresentante dell’ausiliaria e dall’eventuale Direttore Tecnico.</w:t>
      </w:r>
    </w:p>
    <w:p w14:paraId="47F1555B"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Nel caso di subappalto – laddove consentito – il Patto va sottoscritto anche dal legale rappresentante del soggetto affidatario del subappalto medesimo, e dall’eventuale Direttore Tecnico.</w:t>
      </w:r>
    </w:p>
    <w:p w14:paraId="10646E4F"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8. La presentazione del Patto, sottoscritto per accettazione incondizionata delle relative prescrizioni, costituisce per l’Operatore Economico condizione essenziale per l’ammissione alla procedura di gara, pena l’esclusione dalla medesima. La carenza della dichiarazione di accettazione del Patto di integrità o la mancata produzione dello stesso debitamente sottoscritto dal concorrente, sono regolarizzabili attraverso la procedura di soccorso istruttorio di cui all’art. 101 del Codice dei Contratti pubblici.</w:t>
      </w:r>
    </w:p>
    <w:p w14:paraId="30CBAA84" w14:textId="66D6A0D8"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Articolo 2</w:t>
      </w:r>
    </w:p>
    <w:p w14:paraId="10595D80"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(Obblighi dell’Operatore Economico)</w:t>
      </w:r>
    </w:p>
    <w:p w14:paraId="4F64BF48"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1. L’Operatore Economico conforma la propria condotta ai principi di lealtà, trasparenza e correttezza.</w:t>
      </w:r>
    </w:p>
    <w:p w14:paraId="670B0771" w14:textId="2F9D3C19"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2. L’Operatore Economico si obbliga a non offrire somme di denaro, utilità, vantaggi, benefici o qualsiasi altra ricompensa, sia direttamente che indirettamente tramite intermediari, al personale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 ovvero a terzi, ai fini dell’aggiudicazione della gara o di distorcerne il corretto svolgimento, nonché ai fini dell’assegnazione del contratto o di distorcerne la corretta e regolare esecuzione.</w:t>
      </w:r>
    </w:p>
    <w:p w14:paraId="2D297589"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3. L’Operatore Economico, salvi ed impregiudicati gli obblighi legali di denuncia alla competente Autorità Giudiziaria, si impegna:</w:t>
      </w:r>
    </w:p>
    <w:p w14:paraId="2A8EC96F" w14:textId="3E1750D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lastRenderedPageBreak/>
        <w:t xml:space="preserve">a) a segnalare alla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 xml:space="preserve">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stessa;</w:t>
      </w:r>
    </w:p>
    <w:p w14:paraId="42D277CC" w14:textId="52122B79"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b) a segnalare alla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 xml:space="preserve">qualsiasi illecita richiesta o pretesa da parte di dipendenti della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stessa o di chiunque possa influenzare le decisioni relative alla procedura di affidamento o all’esecuzione del contratto;</w:t>
      </w:r>
    </w:p>
    <w:p w14:paraId="1F4AAA19"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c) qualora i fatti di cui ai precedenti punti a) e b) ne costituiscano il presupposto, a sporgere denuncia alle Autorità competenti e di segnalare il fatto all’ANAC,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0E6C4485" w14:textId="7E27307A"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d) a non conferire incarichi o stipulare contratti con i dipendenti che, negli ultimi tre anni di servizio, hanno esercitato poteri autoritativi o negoziali per conto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w:t>
      </w:r>
    </w:p>
    <w:p w14:paraId="6A8D6813"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Agli stessi obblighi è tenuto anche l’aggiudicatario della gara nella fase dell’esecuzione del contratto, nonché tutti gli eventuali subcontraenti della stessa. A tal fine la clausola che prevede il rispetto degli obblighi di cui al presente Patto di integrità, sarà inserita nei contratti stipulati dall’Operatore economico con i propri subcontraenti.</w:t>
      </w:r>
    </w:p>
    <w:p w14:paraId="4DDE7EDD"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4. Il legale rappresentante dell’Operatore Economico informa prontamente e puntualmente tutto il personale di cui si avvale (dipendenti, consulenti, collaboratori e/o subappaltatori) circa il presente Patto di integrità e gli obblighi in esso contenuti e vigila scrupolosamente sulla loro osservanza.</w:t>
      </w:r>
    </w:p>
    <w:p w14:paraId="6BB5B594" w14:textId="62FE7A0C"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5. Il legale rappresentante dell’Operatore Economico segnala eventuali situazioni di conflitto di interesse, di cui sia a conoscenza, rispetto al personale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w:t>
      </w:r>
    </w:p>
    <w:p w14:paraId="3503F20A"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6. Il legale rappresentante dell’Operatore Economico dichiara:</w:t>
      </w:r>
    </w:p>
    <w:p w14:paraId="73694C76" w14:textId="3D409ECF"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non avere influenzato il procedimento amministrativo diretto a stabilire il contenuto del bando o di altro atto equipollente al fine di condizionare le modalità di scelta del contraente da parte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 xml:space="preserve">; </w:t>
      </w:r>
    </w:p>
    <w:p w14:paraId="29A73B1D"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non trovarsi in situazioni di controllo o di collegamento (formale e/o sostanziale) con altri concorrenti, tali da comportare l’imputazione delle relative offerte ad un unico centro decisionale, e che non si è accordato e non si accorderà con altri partecipanti alla gara per limitare o eludere in alcun modo la libera concorrenza;</w:t>
      </w:r>
    </w:p>
    <w:p w14:paraId="0F937EE9"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non trovarsi in altre situazioni ritenute incompatibili con la partecipazione alle gare dal Codice dei Contratti pubblici, dal Codice civile ovvero dalle altre disposizioni normative vigenti;</w:t>
      </w:r>
    </w:p>
    <w:p w14:paraId="28786D0A" w14:textId="2CA834BA"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non aver conferito incarichi ai dipendenti che, negli ultimi tre anni di servizio, hanno esercitato poteri autoritativi o negoziali per conto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w:t>
      </w:r>
    </w:p>
    <w:p w14:paraId="0F224535"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essere consapevole che, qualora venga accertata la violazione del suddetto divieto di verrà disposta l’immediata esclusione dalla partecipazione alla procedura d’affidamento;</w:t>
      </w:r>
    </w:p>
    <w:p w14:paraId="30C5B056" w14:textId="0D2929F6"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di impegnarsi a rendere noti, su richiesta della Fondazione ITS Academy</w:t>
      </w:r>
      <w:r w:rsidR="00667E23">
        <w:rPr>
          <w:rFonts w:ascii="Garamond" w:hAnsi="Garamond" w:cstheme="minorHAnsi"/>
          <w:sz w:val="24"/>
          <w:szCs w:val="24"/>
        </w:rPr>
        <w:t xml:space="preserve"> TEC MOS</w:t>
      </w:r>
      <w:r w:rsidRPr="00F06636">
        <w:rPr>
          <w:rFonts w:ascii="Garamond" w:hAnsi="Garamond" w:cstheme="minorHAnsi"/>
          <w:sz w:val="24"/>
          <w:szCs w:val="24"/>
        </w:rPr>
        <w:t>, tutti i pagamenti eseguiti e riguardanti il contratto eventualmente assegnatogli a seguito della procedura di affidamento.</w:t>
      </w:r>
    </w:p>
    <w:p w14:paraId="2B0AA1EB" w14:textId="7E6928EC"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Articolo 3</w:t>
      </w:r>
    </w:p>
    <w:p w14:paraId="51F28392"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(Obblighi della Fondazione ITS Academy)</w:t>
      </w:r>
    </w:p>
    <w:p w14:paraId="5FAE51A7" w14:textId="7F3B717E"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1.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 xml:space="preserve">conforma la propria condotta ai principi di lealtà, trasparenza e correttezza. </w:t>
      </w:r>
    </w:p>
    <w:p w14:paraId="3D7F56CC"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lastRenderedPageBreak/>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5931B5DC" w14:textId="267DF8A5"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2.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31AAC62" w14:textId="49B88DCF"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3.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attiverà le procedure di legge nei confronti del personale che non conformi il proprio operato ai principi richiamati al comma primo del presente articolo</w:t>
      </w:r>
      <w:r w:rsidRPr="00F06636">
        <w:rPr>
          <w:rFonts w:ascii="Garamond" w:hAnsi="Garamond" w:cstheme="minorHAnsi"/>
          <w:b/>
          <w:bCs/>
          <w:sz w:val="24"/>
          <w:szCs w:val="24"/>
        </w:rPr>
        <w:t>.</w:t>
      </w:r>
    </w:p>
    <w:p w14:paraId="11542849" w14:textId="48251D0F"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4.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aprirà un procedimento istruttorio per la verifica di ogni eventuale segnalazione ricevuta in merito a condotte anomale attuate dal proprio personale in relazione al procedimento di gara ed alle fasi di esecuzione del contratto.</w:t>
      </w:r>
    </w:p>
    <w:p w14:paraId="649A3596" w14:textId="52D8A0A4"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5.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formalizza l’accertamento delle violazioni del presente Patto di integrità, nel rispetto del principio del contraddittorio.</w:t>
      </w:r>
    </w:p>
    <w:p w14:paraId="0B0696C2"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Articolo 4</w:t>
      </w:r>
    </w:p>
    <w:p w14:paraId="16D24D19"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 xml:space="preserve">(Violazione degli obblighi assunti con il Patto di integrità) </w:t>
      </w:r>
    </w:p>
    <w:p w14:paraId="1CE4698A"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1. La violazione degli obblighi di cui al precedente art. 2 è dichiarata all’esito di un procedimento di verifica nel corso del quale verrà garantito adeguato contraddittorio con l’Operatore economico coinvolto nel procedimento. </w:t>
      </w:r>
    </w:p>
    <w:p w14:paraId="01B1821E"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bCs/>
          <w:sz w:val="24"/>
          <w:szCs w:val="24"/>
        </w:rPr>
        <w:t>2</w:t>
      </w:r>
      <w:r w:rsidRPr="00F06636">
        <w:rPr>
          <w:rFonts w:ascii="Garamond" w:hAnsi="Garamond" w:cstheme="minorHAnsi"/>
          <w:b/>
          <w:bCs/>
          <w:sz w:val="24"/>
          <w:szCs w:val="24"/>
        </w:rPr>
        <w:t xml:space="preserve">. </w:t>
      </w:r>
      <w:r w:rsidRPr="00F06636">
        <w:rPr>
          <w:rFonts w:ascii="Garamond" w:hAnsi="Garamond" w:cstheme="minorHAnsi"/>
          <w:sz w:val="24"/>
          <w:szCs w:val="24"/>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1D9681B"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esclusione dalla procedura di affidamento ed escussione della cauzione, se la violazione è accertata nella fase precedente all’aggiudicazione dell’appalto;</w:t>
      </w:r>
    </w:p>
    <w:p w14:paraId="5C7B97EB"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revoca dell’aggiudicazione ed escussione della cauzione se la violazione è accertata nella fase successiva all’aggiudicazione dell’appalto, ma precedente alla stipula del contratto;</w:t>
      </w:r>
    </w:p>
    <w:p w14:paraId="0C80077D"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risoluzione del contratto, ai sensi e per gli effetti dell’art. 1456 del Codice civile, ed escussione della cauzione definitiva, se la violazione è accertata nella fase di esecuzione dell’appalto;</w:t>
      </w:r>
    </w:p>
    <w:p w14:paraId="26ABF637"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segnalazione del fatto all’ANAC ed alle competenti Autorità.</w:t>
      </w:r>
    </w:p>
    <w:p w14:paraId="2E11717A" w14:textId="5B978566"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3. Resta ferma la facoltà per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di non avvalersi della risoluzione del contratto qualora lo ritenga pregiudizievole agli interessi pubblici sottesi al contratto; sono fatti salvi, in ogni caso, l’eventuale diritto al risarcimento del danno e l’applicazione di eventuali penali.</w:t>
      </w:r>
    </w:p>
    <w:p w14:paraId="6E3B1276" w14:textId="5EE58161"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4. In ogni caso, l’accertamento di una violazione degli obblighi assunti con il presente Patto di Integrità costituisce legittima causa di esclusione dell’Operatore Economico dalla partecipazione alle procedure di affidamento degli appalti di lavori, forniture e servizi bandite dalla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per il successivo anno.</w:t>
      </w:r>
    </w:p>
    <w:p w14:paraId="6B401B19"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Articolo 5</w:t>
      </w:r>
    </w:p>
    <w:p w14:paraId="155C6D05"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(Efficacia del patto di integrità)</w:t>
      </w:r>
    </w:p>
    <w:p w14:paraId="15CF11B1" w14:textId="77777777"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Il presente Patto di integrità e le relative sanzioni si applicano dall’avvio della procedura di affidamento sino alla completa esecuzione del contratto assegnato a seguito della procedura medesima.</w:t>
      </w:r>
    </w:p>
    <w:p w14:paraId="195EA6BA" w14:textId="77777777" w:rsidR="005C028D" w:rsidRDefault="005C028D" w:rsidP="001849E7">
      <w:pPr>
        <w:spacing w:after="120"/>
        <w:jc w:val="center"/>
        <w:rPr>
          <w:rFonts w:ascii="Garamond" w:hAnsi="Garamond" w:cstheme="minorHAnsi"/>
          <w:b/>
          <w:sz w:val="24"/>
          <w:szCs w:val="24"/>
        </w:rPr>
      </w:pPr>
    </w:p>
    <w:p w14:paraId="260EC8ED" w14:textId="77777777" w:rsidR="005C028D" w:rsidRDefault="005C028D" w:rsidP="001849E7">
      <w:pPr>
        <w:spacing w:after="120"/>
        <w:jc w:val="center"/>
        <w:rPr>
          <w:rFonts w:ascii="Garamond" w:hAnsi="Garamond" w:cstheme="minorHAnsi"/>
          <w:b/>
          <w:sz w:val="24"/>
          <w:szCs w:val="24"/>
        </w:rPr>
      </w:pPr>
    </w:p>
    <w:p w14:paraId="43E6619B" w14:textId="5F2EEB89"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lastRenderedPageBreak/>
        <w:t>Articolo 6</w:t>
      </w:r>
    </w:p>
    <w:p w14:paraId="783B5AE3" w14:textId="77777777" w:rsidR="00ED243A" w:rsidRPr="00F06636" w:rsidRDefault="00ED243A" w:rsidP="001849E7">
      <w:pPr>
        <w:spacing w:after="120"/>
        <w:jc w:val="center"/>
        <w:rPr>
          <w:rFonts w:ascii="Garamond" w:hAnsi="Garamond" w:cstheme="minorHAnsi"/>
          <w:b/>
          <w:sz w:val="24"/>
          <w:szCs w:val="24"/>
        </w:rPr>
      </w:pPr>
      <w:r w:rsidRPr="00F06636">
        <w:rPr>
          <w:rFonts w:ascii="Garamond" w:hAnsi="Garamond" w:cstheme="minorHAnsi"/>
          <w:b/>
          <w:sz w:val="24"/>
          <w:szCs w:val="24"/>
        </w:rPr>
        <w:t>(Controversie)</w:t>
      </w:r>
    </w:p>
    <w:p w14:paraId="181A9FAB" w14:textId="25A15296" w:rsidR="00ED243A" w:rsidRPr="00F06636" w:rsidRDefault="00ED243A" w:rsidP="001849E7">
      <w:pPr>
        <w:spacing w:after="120"/>
        <w:jc w:val="both"/>
        <w:rPr>
          <w:rFonts w:ascii="Garamond" w:hAnsi="Garamond" w:cstheme="minorHAnsi"/>
          <w:sz w:val="24"/>
          <w:szCs w:val="24"/>
        </w:rPr>
      </w:pPr>
      <w:r w:rsidRPr="00F06636">
        <w:rPr>
          <w:rFonts w:ascii="Garamond" w:hAnsi="Garamond" w:cstheme="minorHAnsi"/>
          <w:sz w:val="24"/>
          <w:szCs w:val="24"/>
        </w:rPr>
        <w:t xml:space="preserve">Ogni controversia relativa all’interpretazione ed alla esecuzione del presente Patto di Integrità fra la Fondazione ITS Academy </w:t>
      </w:r>
      <w:r w:rsidR="00667E23">
        <w:rPr>
          <w:rFonts w:ascii="Garamond" w:hAnsi="Garamond" w:cstheme="minorHAnsi"/>
          <w:sz w:val="24"/>
          <w:szCs w:val="24"/>
        </w:rPr>
        <w:t xml:space="preserve">TEC MOS </w:t>
      </w:r>
      <w:r w:rsidRPr="00F06636">
        <w:rPr>
          <w:rFonts w:ascii="Garamond" w:hAnsi="Garamond" w:cstheme="minorHAnsi"/>
          <w:sz w:val="24"/>
          <w:szCs w:val="24"/>
        </w:rPr>
        <w:t>e gli Operatori Economici, ovvero tra gli stessi Operatori Economici sarà risolta, in via esclusiva, dal Foro di Napoli.</w:t>
      </w:r>
    </w:p>
    <w:p w14:paraId="18965670" w14:textId="77777777" w:rsidR="001849E7" w:rsidRPr="00F06636" w:rsidRDefault="001849E7" w:rsidP="001849E7">
      <w:pPr>
        <w:spacing w:after="120"/>
        <w:jc w:val="both"/>
        <w:rPr>
          <w:rFonts w:ascii="Garamond" w:hAnsi="Garamond" w:cstheme="minorHAnsi"/>
          <w:sz w:val="24"/>
          <w:szCs w:val="24"/>
        </w:rPr>
      </w:pPr>
    </w:p>
    <w:p w14:paraId="0712AE6C" w14:textId="77777777" w:rsidR="001849E7" w:rsidRPr="00F06636" w:rsidRDefault="001849E7" w:rsidP="001849E7">
      <w:pPr>
        <w:tabs>
          <w:tab w:val="left" w:pos="8789"/>
        </w:tabs>
        <w:autoSpaceDE w:val="0"/>
        <w:autoSpaceDN w:val="0"/>
        <w:spacing w:after="120"/>
        <w:rPr>
          <w:rFonts w:ascii="Garamond" w:hAnsi="Garamond" w:cs="Calibri Light"/>
          <w:bCs/>
          <w:sz w:val="24"/>
          <w:szCs w:val="24"/>
        </w:rPr>
      </w:pPr>
      <w:r w:rsidRPr="00F06636">
        <w:rPr>
          <w:rFonts w:ascii="Garamond" w:hAnsi="Garamond" w:cs="Calibri Light"/>
          <w:bCs/>
          <w:sz w:val="24"/>
          <w:szCs w:val="24"/>
        </w:rPr>
        <w:t xml:space="preserve">Luogo e Data ______________________                                                                                                                         </w:t>
      </w:r>
    </w:p>
    <w:p w14:paraId="503B3263" w14:textId="77777777" w:rsidR="001849E7" w:rsidRPr="00F06636" w:rsidRDefault="001849E7" w:rsidP="001849E7">
      <w:pPr>
        <w:spacing w:after="120"/>
        <w:jc w:val="both"/>
        <w:rPr>
          <w:rFonts w:ascii="Garamond" w:hAnsi="Garamond" w:cstheme="minorHAnsi"/>
          <w:sz w:val="24"/>
          <w:szCs w:val="24"/>
        </w:rPr>
      </w:pPr>
    </w:p>
    <w:tbl>
      <w:tblPr>
        <w:tblStyle w:val="Grigliatabella"/>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43"/>
        <w:gridCol w:w="3821"/>
      </w:tblGrid>
      <w:tr w:rsidR="00ED243A" w:rsidRPr="00F06636" w14:paraId="0CD4690A" w14:textId="77777777" w:rsidTr="00667E23">
        <w:tc>
          <w:tcPr>
            <w:tcW w:w="4536" w:type="dxa"/>
            <w:hideMark/>
          </w:tcPr>
          <w:p w14:paraId="5DCE3BB3" w14:textId="61B34978" w:rsidR="00ED243A" w:rsidRPr="00F06636" w:rsidRDefault="00ED243A" w:rsidP="001849E7">
            <w:pPr>
              <w:spacing w:after="120"/>
              <w:jc w:val="center"/>
              <w:rPr>
                <w:rFonts w:ascii="Garamond" w:hAnsi="Garamond" w:cstheme="minorHAnsi"/>
                <w:sz w:val="24"/>
                <w:szCs w:val="24"/>
              </w:rPr>
            </w:pPr>
            <w:r w:rsidRPr="00F06636">
              <w:rPr>
                <w:rFonts w:ascii="Garamond" w:hAnsi="Garamond" w:cstheme="minorHAnsi"/>
                <w:sz w:val="24"/>
                <w:szCs w:val="24"/>
              </w:rPr>
              <w:t xml:space="preserve">La Fondazione ITS </w:t>
            </w:r>
            <w:r w:rsidR="00667E23">
              <w:rPr>
                <w:rFonts w:ascii="Garamond" w:hAnsi="Garamond" w:cstheme="minorHAnsi"/>
                <w:sz w:val="24"/>
                <w:szCs w:val="24"/>
              </w:rPr>
              <w:t xml:space="preserve">Academy </w:t>
            </w:r>
            <w:r w:rsidR="001849E7" w:rsidRPr="00F06636">
              <w:rPr>
                <w:rFonts w:ascii="Garamond" w:hAnsi="Garamond" w:cstheme="minorHAnsi"/>
                <w:sz w:val="24"/>
                <w:szCs w:val="24"/>
              </w:rPr>
              <w:t>TEC MOS</w:t>
            </w:r>
          </w:p>
        </w:tc>
        <w:tc>
          <w:tcPr>
            <w:tcW w:w="1843" w:type="dxa"/>
          </w:tcPr>
          <w:p w14:paraId="4BD536B1" w14:textId="77777777" w:rsidR="00ED243A" w:rsidRPr="00F06636" w:rsidRDefault="00ED243A" w:rsidP="001849E7">
            <w:pPr>
              <w:spacing w:after="120"/>
              <w:jc w:val="center"/>
              <w:rPr>
                <w:rFonts w:ascii="Garamond" w:hAnsi="Garamond" w:cstheme="minorHAnsi"/>
                <w:sz w:val="24"/>
                <w:szCs w:val="24"/>
              </w:rPr>
            </w:pPr>
          </w:p>
        </w:tc>
        <w:tc>
          <w:tcPr>
            <w:tcW w:w="3821" w:type="dxa"/>
            <w:hideMark/>
          </w:tcPr>
          <w:p w14:paraId="4D9FF705" w14:textId="77777777" w:rsidR="00ED243A" w:rsidRPr="00F06636" w:rsidRDefault="00ED243A" w:rsidP="001849E7">
            <w:pPr>
              <w:spacing w:after="120"/>
              <w:jc w:val="center"/>
              <w:rPr>
                <w:rFonts w:ascii="Garamond" w:hAnsi="Garamond" w:cstheme="minorHAnsi"/>
                <w:sz w:val="24"/>
                <w:szCs w:val="24"/>
              </w:rPr>
            </w:pPr>
            <w:r w:rsidRPr="00F06636">
              <w:rPr>
                <w:rFonts w:ascii="Garamond" w:hAnsi="Garamond" w:cstheme="minorHAnsi"/>
                <w:sz w:val="24"/>
                <w:szCs w:val="24"/>
              </w:rPr>
              <w:t>L’Operatore Economico</w:t>
            </w:r>
          </w:p>
        </w:tc>
      </w:tr>
      <w:tr w:rsidR="00ED243A" w:rsidRPr="00F06636" w14:paraId="3BA1D839" w14:textId="77777777" w:rsidTr="00667E23">
        <w:tc>
          <w:tcPr>
            <w:tcW w:w="4536" w:type="dxa"/>
          </w:tcPr>
          <w:p w14:paraId="4BCE5F87" w14:textId="77777777" w:rsidR="00ED243A" w:rsidRPr="00F06636" w:rsidRDefault="00ED243A" w:rsidP="001849E7">
            <w:pPr>
              <w:spacing w:after="120"/>
              <w:jc w:val="both"/>
              <w:rPr>
                <w:rFonts w:ascii="Garamond" w:hAnsi="Garamond" w:cstheme="minorHAnsi"/>
                <w:sz w:val="24"/>
                <w:szCs w:val="24"/>
              </w:rPr>
            </w:pPr>
          </w:p>
        </w:tc>
        <w:tc>
          <w:tcPr>
            <w:tcW w:w="1843" w:type="dxa"/>
          </w:tcPr>
          <w:p w14:paraId="47338F0A" w14:textId="77777777" w:rsidR="00ED243A" w:rsidRPr="00F06636" w:rsidRDefault="00ED243A" w:rsidP="001849E7">
            <w:pPr>
              <w:spacing w:after="120"/>
              <w:jc w:val="both"/>
              <w:rPr>
                <w:rFonts w:ascii="Garamond" w:hAnsi="Garamond" w:cstheme="minorHAnsi"/>
                <w:sz w:val="24"/>
                <w:szCs w:val="24"/>
              </w:rPr>
            </w:pPr>
          </w:p>
        </w:tc>
        <w:tc>
          <w:tcPr>
            <w:tcW w:w="3821" w:type="dxa"/>
          </w:tcPr>
          <w:p w14:paraId="20035A09" w14:textId="77777777" w:rsidR="00ED243A" w:rsidRPr="00F06636" w:rsidRDefault="00ED243A" w:rsidP="001849E7">
            <w:pPr>
              <w:spacing w:after="120"/>
              <w:jc w:val="both"/>
              <w:rPr>
                <w:rFonts w:ascii="Garamond" w:hAnsi="Garamond" w:cstheme="minorHAnsi"/>
                <w:sz w:val="24"/>
                <w:szCs w:val="24"/>
              </w:rPr>
            </w:pPr>
          </w:p>
        </w:tc>
      </w:tr>
      <w:tr w:rsidR="00ED243A" w:rsidRPr="00F06636" w14:paraId="501DEB17" w14:textId="77777777" w:rsidTr="00667E23">
        <w:tc>
          <w:tcPr>
            <w:tcW w:w="4536" w:type="dxa"/>
            <w:hideMark/>
          </w:tcPr>
          <w:p w14:paraId="4AF0CB16" w14:textId="243EBFCA" w:rsidR="00ED243A" w:rsidRPr="00F06636" w:rsidRDefault="00ED243A" w:rsidP="001849E7">
            <w:pPr>
              <w:spacing w:after="120"/>
              <w:jc w:val="center"/>
              <w:rPr>
                <w:rFonts w:ascii="Garamond" w:hAnsi="Garamond" w:cstheme="minorHAnsi"/>
                <w:sz w:val="24"/>
                <w:szCs w:val="24"/>
              </w:rPr>
            </w:pPr>
            <w:r w:rsidRPr="00F06636">
              <w:rPr>
                <w:rFonts w:ascii="Garamond" w:hAnsi="Garamond" w:cstheme="minorHAnsi"/>
                <w:sz w:val="24"/>
                <w:szCs w:val="24"/>
              </w:rPr>
              <w:t>Il Presidente</w:t>
            </w:r>
          </w:p>
        </w:tc>
        <w:tc>
          <w:tcPr>
            <w:tcW w:w="1843" w:type="dxa"/>
          </w:tcPr>
          <w:p w14:paraId="12ABF6AB" w14:textId="77777777" w:rsidR="00ED243A" w:rsidRPr="00F06636" w:rsidRDefault="00ED243A" w:rsidP="001849E7">
            <w:pPr>
              <w:spacing w:after="120"/>
              <w:jc w:val="center"/>
              <w:rPr>
                <w:rFonts w:ascii="Garamond" w:hAnsi="Garamond" w:cstheme="minorHAnsi"/>
                <w:sz w:val="24"/>
                <w:szCs w:val="24"/>
              </w:rPr>
            </w:pPr>
          </w:p>
        </w:tc>
        <w:tc>
          <w:tcPr>
            <w:tcW w:w="3821" w:type="dxa"/>
            <w:hideMark/>
          </w:tcPr>
          <w:p w14:paraId="6A22B245" w14:textId="77777777" w:rsidR="00ED243A" w:rsidRPr="00F06636" w:rsidRDefault="00ED243A" w:rsidP="001849E7">
            <w:pPr>
              <w:spacing w:after="120"/>
              <w:jc w:val="center"/>
              <w:rPr>
                <w:rFonts w:ascii="Garamond" w:hAnsi="Garamond" w:cstheme="minorHAnsi"/>
                <w:sz w:val="24"/>
                <w:szCs w:val="24"/>
              </w:rPr>
            </w:pPr>
            <w:r w:rsidRPr="00F06636">
              <w:rPr>
                <w:rFonts w:ascii="Garamond" w:hAnsi="Garamond" w:cstheme="minorHAnsi"/>
                <w:sz w:val="24"/>
                <w:szCs w:val="24"/>
              </w:rPr>
              <w:t>Il Titolare/Legale rappresentante</w:t>
            </w:r>
          </w:p>
        </w:tc>
      </w:tr>
    </w:tbl>
    <w:p w14:paraId="6DDD275B" w14:textId="77777777" w:rsidR="00D75DD4" w:rsidRPr="00F06636" w:rsidRDefault="00D75DD4" w:rsidP="001849E7">
      <w:pPr>
        <w:spacing w:after="120"/>
        <w:rPr>
          <w:rFonts w:ascii="Garamond" w:hAnsi="Garamond"/>
          <w:sz w:val="24"/>
          <w:szCs w:val="24"/>
        </w:rPr>
      </w:pPr>
    </w:p>
    <w:sectPr w:rsidR="00D75DD4" w:rsidRPr="00F06636" w:rsidSect="00963C8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25531" w14:textId="77777777" w:rsidR="00963C86" w:rsidRDefault="00963C86" w:rsidP="00023499">
      <w:r>
        <w:separator/>
      </w:r>
    </w:p>
  </w:endnote>
  <w:endnote w:type="continuationSeparator" w:id="0">
    <w:p w14:paraId="1948091E" w14:textId="77777777" w:rsidR="00963C86" w:rsidRDefault="00963C86"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B994" w14:textId="77777777" w:rsidR="001849E7" w:rsidRDefault="001849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0182" w14:textId="6D89841D" w:rsidR="00586A0E" w:rsidRPr="001849E7" w:rsidRDefault="001849E7" w:rsidP="001849E7">
    <w:pPr>
      <w:pStyle w:val="Pidipagina"/>
      <w:pBdr>
        <w:top w:val="single" w:sz="4" w:space="1" w:color="auto"/>
      </w:pBdr>
      <w:rPr>
        <w:rFonts w:ascii="Garamond" w:hAnsi="Garamond"/>
        <w:szCs w:val="20"/>
      </w:rPr>
    </w:pPr>
    <w:r>
      <w:rPr>
        <w:rFonts w:ascii="Garamond" w:hAnsi="Garamond"/>
        <w:szCs w:val="20"/>
      </w:rPr>
      <w:t>Allegato 8</w:t>
    </w:r>
    <w:r w:rsidRPr="00697164">
      <w:rPr>
        <w:rFonts w:ascii="Garamond" w:hAnsi="Garamond"/>
        <w:szCs w:val="20"/>
      </w:rPr>
      <w:t xml:space="preserve"> – </w:t>
    </w:r>
    <w:r>
      <w:rPr>
        <w:rFonts w:ascii="Garamond" w:hAnsi="Garamond"/>
        <w:szCs w:val="20"/>
      </w:rPr>
      <w:t>Patto di Integrità</w:t>
    </w:r>
    <w:r>
      <w:rPr>
        <w:rFonts w:ascii="Garamond" w:hAnsi="Garamond"/>
        <w:szCs w:val="20"/>
      </w:rPr>
      <w:tab/>
    </w:r>
    <w:r>
      <w:rPr>
        <w:rFonts w:ascii="Garamond" w:hAnsi="Garamond"/>
        <w:szCs w:val="20"/>
      </w:rPr>
      <w:tab/>
    </w:r>
    <w:r w:rsidRPr="00697164">
      <w:rPr>
        <w:rFonts w:ascii="Garamond" w:hAnsi="Garamond"/>
        <w:szCs w:val="20"/>
      </w:rPr>
      <w:t xml:space="preserve">        pag. </w:t>
    </w:r>
    <w:r w:rsidRPr="00697164">
      <w:rPr>
        <w:rFonts w:ascii="Garamond" w:hAnsi="Garamond"/>
        <w:szCs w:val="20"/>
      </w:rPr>
      <w:fldChar w:fldCharType="begin"/>
    </w:r>
    <w:r w:rsidRPr="00697164">
      <w:rPr>
        <w:rFonts w:ascii="Garamond" w:hAnsi="Garamond"/>
        <w:szCs w:val="20"/>
      </w:rPr>
      <w:instrText>PAGE   \* MERGEFORMAT</w:instrText>
    </w:r>
    <w:r w:rsidRPr="00697164">
      <w:rPr>
        <w:rFonts w:ascii="Garamond" w:hAnsi="Garamond"/>
        <w:szCs w:val="20"/>
      </w:rPr>
      <w:fldChar w:fldCharType="separate"/>
    </w:r>
    <w:r w:rsidR="007B7229">
      <w:rPr>
        <w:rFonts w:ascii="Garamond" w:hAnsi="Garamond"/>
        <w:noProof/>
        <w:szCs w:val="20"/>
      </w:rPr>
      <w:t>4</w:t>
    </w:r>
    <w:r w:rsidRPr="00697164">
      <w:rPr>
        <w:rFonts w:ascii="Garamond" w:hAnsi="Garamond"/>
        <w:szCs w:val="20"/>
      </w:rPr>
      <w:fldChar w:fldCharType="end"/>
    </w:r>
    <w:r w:rsidRPr="00697164">
      <w:rPr>
        <w:rFonts w:ascii="Garamond" w:hAnsi="Garamond"/>
        <w:szCs w:val="20"/>
      </w:rPr>
      <w:t xml:space="preserve"> di </w:t>
    </w:r>
    <w:r w:rsidRPr="00697164">
      <w:rPr>
        <w:rFonts w:ascii="Garamond" w:hAnsi="Garamond"/>
        <w:szCs w:val="20"/>
      </w:rPr>
      <w:fldChar w:fldCharType="begin"/>
    </w:r>
    <w:r w:rsidRPr="00697164">
      <w:rPr>
        <w:rFonts w:ascii="Garamond" w:hAnsi="Garamond"/>
        <w:szCs w:val="20"/>
      </w:rPr>
      <w:instrText xml:space="preserve"> NUMPAGES   \* MERGEFORMAT </w:instrText>
    </w:r>
    <w:r w:rsidRPr="00697164">
      <w:rPr>
        <w:rFonts w:ascii="Garamond" w:hAnsi="Garamond"/>
        <w:szCs w:val="20"/>
      </w:rPr>
      <w:fldChar w:fldCharType="separate"/>
    </w:r>
    <w:r w:rsidR="007B7229">
      <w:rPr>
        <w:rFonts w:ascii="Garamond" w:hAnsi="Garamond"/>
        <w:noProof/>
        <w:szCs w:val="20"/>
      </w:rPr>
      <w:t>4</w:t>
    </w:r>
    <w:r w:rsidRPr="00697164">
      <w:rPr>
        <w:rFonts w:ascii="Garamond" w:hAnsi="Garamond"/>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92DA" w14:textId="77777777" w:rsidR="001849E7" w:rsidRDefault="001849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833D" w14:textId="77777777" w:rsidR="00963C86" w:rsidRDefault="00963C86" w:rsidP="00023499">
      <w:r>
        <w:separator/>
      </w:r>
    </w:p>
  </w:footnote>
  <w:footnote w:type="continuationSeparator" w:id="0">
    <w:p w14:paraId="58387C80" w14:textId="77777777" w:rsidR="00963C86" w:rsidRDefault="00963C86" w:rsidP="0002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4EAA" w14:textId="77777777" w:rsidR="001849E7" w:rsidRDefault="001849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1D96" w14:textId="61C41BD1" w:rsidR="00F70D66" w:rsidRDefault="00667E23" w:rsidP="00667E23">
    <w:pPr>
      <w:ind w:right="-994" w:hanging="1134"/>
      <w:jc w:val="center"/>
      <w:rPr>
        <w:rFonts w:ascii="Titillium Web" w:hAnsi="Titillium Web"/>
        <w:b/>
        <w:bCs/>
        <w:sz w:val="28"/>
        <w:szCs w:val="28"/>
        <w:lang w:val="en-US"/>
      </w:rPr>
    </w:pPr>
    <w:bookmarkStart w:id="1" w:name="_Hlk162553736"/>
    <w:r w:rsidRPr="00F0401F">
      <w:rPr>
        <w:noProof/>
      </w:rPr>
      <w:drawing>
        <wp:inline distT="0" distB="0" distL="0" distR="0" wp14:anchorId="4E721D57" wp14:editId="0ADC7956">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3B6C0315" wp14:editId="39BF148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0370DC49" w14:textId="3D51CBBC" w:rsidR="00F70D66" w:rsidRPr="00093CC9" w:rsidRDefault="00F70D66" w:rsidP="00F70D66">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p>
  <w:bookmarkEnd w:id="1"/>
  <w:p w14:paraId="2D8FAE25" w14:textId="2018335B" w:rsidR="00023499" w:rsidRDefault="00023499">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7680" w14:textId="77777777" w:rsidR="001849E7" w:rsidRDefault="001849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12627B"/>
    <w:multiLevelType w:val="hybridMultilevel"/>
    <w:tmpl w:val="57D0426A"/>
    <w:lvl w:ilvl="0" w:tplc="6EF65D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0521917">
    <w:abstractNumId w:val="1"/>
  </w:num>
  <w:num w:numId="2" w16cid:durableId="1747877328">
    <w:abstractNumId w:val="2"/>
  </w:num>
  <w:num w:numId="3" w16cid:durableId="2029402896">
    <w:abstractNumId w:val="3"/>
  </w:num>
  <w:num w:numId="4" w16cid:durableId="928151619">
    <w:abstractNumId w:val="0"/>
  </w:num>
  <w:num w:numId="5" w16cid:durableId="1018196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9"/>
    <w:rsid w:val="0001220D"/>
    <w:rsid w:val="00023499"/>
    <w:rsid w:val="000D44EE"/>
    <w:rsid w:val="0017426C"/>
    <w:rsid w:val="001849E7"/>
    <w:rsid w:val="001B67E3"/>
    <w:rsid w:val="00277FFC"/>
    <w:rsid w:val="002D7B6F"/>
    <w:rsid w:val="002E7091"/>
    <w:rsid w:val="002F0685"/>
    <w:rsid w:val="00372D42"/>
    <w:rsid w:val="003B5D59"/>
    <w:rsid w:val="00466456"/>
    <w:rsid w:val="004E3E5E"/>
    <w:rsid w:val="00576A8C"/>
    <w:rsid w:val="00586A0E"/>
    <w:rsid w:val="005C028D"/>
    <w:rsid w:val="005D65DB"/>
    <w:rsid w:val="005E02C6"/>
    <w:rsid w:val="00667E23"/>
    <w:rsid w:val="006923B7"/>
    <w:rsid w:val="006C1A58"/>
    <w:rsid w:val="006C41B0"/>
    <w:rsid w:val="006E7F9D"/>
    <w:rsid w:val="00740F6B"/>
    <w:rsid w:val="00755322"/>
    <w:rsid w:val="007B7229"/>
    <w:rsid w:val="00806410"/>
    <w:rsid w:val="00853E51"/>
    <w:rsid w:val="00881E3B"/>
    <w:rsid w:val="00896EE4"/>
    <w:rsid w:val="0092392E"/>
    <w:rsid w:val="00963C86"/>
    <w:rsid w:val="00972365"/>
    <w:rsid w:val="009948A3"/>
    <w:rsid w:val="009C0A7C"/>
    <w:rsid w:val="00A163D7"/>
    <w:rsid w:val="00A51D67"/>
    <w:rsid w:val="00A656CD"/>
    <w:rsid w:val="00A75C57"/>
    <w:rsid w:val="00B00C7C"/>
    <w:rsid w:val="00B262BD"/>
    <w:rsid w:val="00B50406"/>
    <w:rsid w:val="00B623AC"/>
    <w:rsid w:val="00B9362D"/>
    <w:rsid w:val="00B95F51"/>
    <w:rsid w:val="00BE497E"/>
    <w:rsid w:val="00C15BD3"/>
    <w:rsid w:val="00D220CC"/>
    <w:rsid w:val="00D75DD4"/>
    <w:rsid w:val="00E22C9F"/>
    <w:rsid w:val="00E26139"/>
    <w:rsid w:val="00ED243A"/>
    <w:rsid w:val="00F06636"/>
    <w:rsid w:val="00F27614"/>
    <w:rsid w:val="00F35148"/>
    <w:rsid w:val="00F70D66"/>
    <w:rsid w:val="00FA6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Bullet edison,Paragrafo elenco 2"/>
    <w:basedOn w:val="Normale"/>
    <w:link w:val="ParagrafoelencoCarattere"/>
    <w:uiPriority w:val="99"/>
    <w:qFormat/>
    <w:rsid w:val="00A163D7"/>
    <w:pPr>
      <w:ind w:left="720"/>
      <w:contextualSpacing/>
    </w:pPr>
  </w:style>
  <w:style w:type="character" w:customStyle="1" w:styleId="Menzionenonrisolta1">
    <w:name w:val="Menzione non risolta1"/>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3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ParagrafoelencoCarattere">
    <w:name w:val="Paragrafo elenco Carattere"/>
    <w:aliases w:val="Paragrafo Carattere,Bullet edison Carattere,Paragrafo elenco 2 Carattere"/>
    <w:link w:val="Paragrafoelenco"/>
    <w:uiPriority w:val="99"/>
    <w:locked/>
    <w:rsid w:val="001849E7"/>
    <w:rPr>
      <w:rFonts w:asciiTheme="minorHAnsi" w:eastAsia="Calibri" w:hAnsiTheme="minorHAnsi" w:cs="Times New Roman"/>
      <w:kern w:val="0"/>
      <w:sz w:val="20"/>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ts-ms-tf.pec@legalmai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2158</Words>
  <Characters>12307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PAOLO LANZILLI</cp:lastModifiedBy>
  <cp:revision>10</cp:revision>
  <dcterms:created xsi:type="dcterms:W3CDTF">2024-04-02T12:36:00Z</dcterms:created>
  <dcterms:modified xsi:type="dcterms:W3CDTF">2024-11-21T13:55:00Z</dcterms:modified>
</cp:coreProperties>
</file>